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9DE" w:rsidRPr="009429DE" w:rsidRDefault="009429DE" w:rsidP="009429DE">
      <w:pPr>
        <w:spacing w:after="225" w:line="420" w:lineRule="atLeast"/>
        <w:jc w:val="center"/>
        <w:rPr>
          <w:rFonts w:ascii="Arial Narrow" w:eastAsia="Times New Roman" w:hAnsi="Arial Narrow" w:cs="Helvetica"/>
          <w:b/>
          <w:bCs/>
          <w:sz w:val="24"/>
          <w:szCs w:val="24"/>
          <w:lang w:val="en"/>
        </w:rPr>
      </w:pPr>
      <w:r w:rsidRPr="009429DE">
        <w:rPr>
          <w:rFonts w:ascii="Arial Narrow" w:eastAsia="Times New Roman" w:hAnsi="Arial Narrow" w:cs="Helvetica"/>
          <w:b/>
          <w:bCs/>
          <w:sz w:val="24"/>
          <w:szCs w:val="24"/>
          <w:lang w:val="en"/>
        </w:rPr>
        <w:t>No</w:t>
      </w:r>
      <w:proofErr w:type="gramStart"/>
      <w:r w:rsidRPr="009429DE">
        <w:rPr>
          <w:rFonts w:ascii="Arial Narrow" w:eastAsia="Times New Roman" w:hAnsi="Arial Narrow" w:cs="Helvetica"/>
          <w:b/>
          <w:bCs/>
          <w:sz w:val="24"/>
          <w:szCs w:val="24"/>
          <w:lang w:val="en"/>
        </w:rPr>
        <w:t>,…</w:t>
      </w:r>
      <w:proofErr w:type="gramEnd"/>
      <w:r w:rsidRPr="009429DE">
        <w:rPr>
          <w:rFonts w:ascii="Arial Narrow" w:eastAsia="Times New Roman" w:hAnsi="Arial Narrow" w:cs="Helvetica"/>
          <w:b/>
          <w:bCs/>
          <w:sz w:val="24"/>
          <w:szCs w:val="24"/>
          <w:lang w:val="en"/>
        </w:rPr>
        <w:t xml:space="preserve"> the Government did not cause the Housing Crisis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w:t>
      </w:r>
      <w:proofErr w:type="gramStart"/>
      <w:r w:rsidRPr="009429DE">
        <w:rPr>
          <w:rFonts w:ascii="Arial Narrow" w:eastAsia="Times New Roman" w:hAnsi="Arial Narrow" w:cs="Helvetica"/>
          <w:sz w:val="24"/>
          <w:szCs w:val="24"/>
          <w:lang w:val="en"/>
        </w:rPr>
        <w:t>excerpted</w:t>
      </w:r>
      <w:proofErr w:type="gramEnd"/>
      <w:r w:rsidRPr="009429DE">
        <w:rPr>
          <w:rFonts w:ascii="Arial Narrow" w:eastAsia="Times New Roman" w:hAnsi="Arial Narrow" w:cs="Helvetica"/>
          <w:sz w:val="24"/>
          <w:szCs w:val="24"/>
          <w:lang w:val="en"/>
        </w:rPr>
        <w:t xml:space="preserve"> from Mike </w:t>
      </w:r>
      <w:proofErr w:type="spellStart"/>
      <w:r w:rsidRPr="009429DE">
        <w:rPr>
          <w:rFonts w:ascii="Arial Narrow" w:eastAsia="Times New Roman" w:hAnsi="Arial Narrow" w:cs="Helvetica"/>
          <w:sz w:val="24"/>
          <w:szCs w:val="24"/>
          <w:lang w:val="en"/>
        </w:rPr>
        <w:t>Konczal</w:t>
      </w:r>
      <w:proofErr w:type="spellEnd"/>
      <w:r w:rsidRPr="009429DE">
        <w:rPr>
          <w:rFonts w:ascii="Arial Narrow" w:eastAsia="Times New Roman" w:hAnsi="Arial Narrow" w:cs="Helvetica"/>
          <w:sz w:val="24"/>
          <w:szCs w:val="24"/>
          <w:lang w:val="en"/>
        </w:rPr>
        <w:t>, The Washington Post, January 13, 2016)</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b/>
          <w:bCs/>
          <w:sz w:val="24"/>
          <w:szCs w:val="24"/>
          <w:lang w:val="en"/>
        </w:rPr>
        <w:t>1. Private markets, rather than the GSEs, created the subprime mortgage boom.</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The subprime mortgage boom and the subsequent crash are very much concentrated in the private market, not the public market. Subprime is a creature of the private label securitization channel (PLS) market, instead of the Government-Sponsored Entities (GSEs, or Fannie and Freddie). The fly-by-night lending boom, slicing and dicing mortgage bonds, derivatives and CDOs, and all the other shadiness of the mortgage market in the 2000s were Wall Street creations, and they drove all those risky mortgages.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Here's </w:t>
      </w:r>
      <w:hyperlink r:id="rId5" w:tgtFrame="_blank" w:history="1">
        <w:r w:rsidRPr="009429DE">
          <w:rPr>
            <w:rFonts w:ascii="Arial Narrow" w:eastAsia="Times New Roman" w:hAnsi="Arial Narrow" w:cs="Helvetica"/>
            <w:color w:val="2E6D9D"/>
            <w:sz w:val="24"/>
            <w:szCs w:val="24"/>
            <w:lang w:val="en"/>
          </w:rPr>
          <w:t>some data</w:t>
        </w:r>
      </w:hyperlink>
      <w:r w:rsidRPr="009429DE">
        <w:rPr>
          <w:rFonts w:ascii="Arial Narrow" w:eastAsia="Times New Roman" w:hAnsi="Arial Narrow" w:cs="Helvetica"/>
          <w:sz w:val="24"/>
          <w:szCs w:val="24"/>
          <w:lang w:val="en"/>
        </w:rPr>
        <w:t> to back that up: "More than 84 percent of the subprime mortgages in 2006 were issued by private lending institutions... Private firms made nearly 83 percent of the subprime loans to low- and moderate-income borrowers that year."</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As University of California, Irvine law professor David Min </w:t>
      </w:r>
      <w:hyperlink r:id="rId6" w:tgtFrame="_blank" w:history="1">
        <w:r w:rsidRPr="009429DE">
          <w:rPr>
            <w:rFonts w:ascii="Arial Narrow" w:eastAsia="Times New Roman" w:hAnsi="Arial Narrow" w:cs="Helvetica"/>
            <w:color w:val="2E6D9D"/>
            <w:sz w:val="24"/>
            <w:szCs w:val="24"/>
            <w:lang w:val="en"/>
          </w:rPr>
          <w:t>has argued</w:t>
        </w:r>
      </w:hyperlink>
      <w:r w:rsidRPr="009429DE">
        <w:rPr>
          <w:rFonts w:ascii="Arial Narrow" w:eastAsia="Times New Roman" w:hAnsi="Arial Narrow" w:cs="Helvetica"/>
          <w:sz w:val="24"/>
          <w:szCs w:val="24"/>
          <w:lang w:val="en"/>
        </w:rPr>
        <w:t xml:space="preserve">, saying the government directly created either the housing bubble or subprime loans has a serious problem with the timing. "From 2002-2005, [GSEs] saw a fairly precipitous drop in market share, going from about 50 percent to just </w:t>
      </w:r>
      <w:proofErr w:type="gramStart"/>
      <w:r w:rsidRPr="009429DE">
        <w:rPr>
          <w:rFonts w:ascii="Arial Narrow" w:eastAsia="Times New Roman" w:hAnsi="Arial Narrow" w:cs="Helvetica"/>
          <w:sz w:val="24"/>
          <w:szCs w:val="24"/>
          <w:lang w:val="en"/>
        </w:rPr>
        <w:t>under</w:t>
      </w:r>
      <w:proofErr w:type="gramEnd"/>
      <w:r w:rsidRPr="009429DE">
        <w:rPr>
          <w:rFonts w:ascii="Arial Narrow" w:eastAsia="Times New Roman" w:hAnsi="Arial Narrow" w:cs="Helvetica"/>
          <w:sz w:val="24"/>
          <w:szCs w:val="24"/>
          <w:lang w:val="en"/>
        </w:rPr>
        <w:t xml:space="preserve"> 30 percent of all mortgage originations. Conversely, private label securitization [PLS] shot up from about 10 percent to about 40 percent over the same period. This is, to state the obvious, a very radical shift in mortgage originations that overlapped neatly with the origination of the most toxic home loans."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b/>
          <w:bCs/>
          <w:sz w:val="24"/>
          <w:szCs w:val="24"/>
          <w:lang w:val="en"/>
        </w:rPr>
        <w:t>2. The Community Reinvestment Act and the GSE's affordability mission didn't cause the crisis.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Many conservatives argue that the "affordability goals" of the GSEs, as well as the Community Reinvestment Act (CRA), which was created in the 1970s to make sure poor communities had access to credit, either directly or indirectly led to subprime loans.</w:t>
      </w:r>
    </w:p>
    <w:p w:rsidR="009429DE" w:rsidRPr="009429DE" w:rsidRDefault="009429DE" w:rsidP="009429DE">
      <w:pPr>
        <w:spacing w:after="225" w:line="420" w:lineRule="atLeast"/>
        <w:rPr>
          <w:rFonts w:ascii="Arial Narrow" w:eastAsia="Times New Roman" w:hAnsi="Arial Narrow" w:cs="Helvetica"/>
          <w:sz w:val="24"/>
          <w:szCs w:val="24"/>
          <w:lang w:val="en"/>
        </w:rPr>
      </w:pPr>
      <w:hyperlink r:id="rId7" w:tgtFrame="_blank" w:history="1">
        <w:r w:rsidRPr="009429DE">
          <w:rPr>
            <w:rFonts w:ascii="Arial Narrow" w:eastAsia="Times New Roman" w:hAnsi="Arial Narrow" w:cs="Helvetica"/>
            <w:color w:val="2E6D9D"/>
            <w:sz w:val="24"/>
            <w:szCs w:val="24"/>
            <w:lang w:val="en"/>
          </w:rPr>
          <w:t>Research</w:t>
        </w:r>
      </w:hyperlink>
      <w:r w:rsidRPr="009429DE">
        <w:rPr>
          <w:rFonts w:ascii="Arial Narrow" w:eastAsia="Times New Roman" w:hAnsi="Arial Narrow" w:cs="Helvetica"/>
          <w:sz w:val="24"/>
          <w:szCs w:val="24"/>
          <w:lang w:val="en"/>
        </w:rPr>
        <w:t xml:space="preserve"> from the Federal Reserve by Neil </w:t>
      </w:r>
      <w:proofErr w:type="spellStart"/>
      <w:r w:rsidRPr="009429DE">
        <w:rPr>
          <w:rFonts w:ascii="Arial Narrow" w:eastAsia="Times New Roman" w:hAnsi="Arial Narrow" w:cs="Helvetica"/>
          <w:sz w:val="24"/>
          <w:szCs w:val="24"/>
          <w:lang w:val="en"/>
        </w:rPr>
        <w:t>Bhutta</w:t>
      </w:r>
      <w:proofErr w:type="spellEnd"/>
      <w:r w:rsidRPr="009429DE">
        <w:rPr>
          <w:rFonts w:ascii="Arial Narrow" w:eastAsia="Times New Roman" w:hAnsi="Arial Narrow" w:cs="Helvetica"/>
          <w:sz w:val="24"/>
          <w:szCs w:val="24"/>
          <w:lang w:val="en"/>
        </w:rPr>
        <w:t xml:space="preserve"> and Glenn B. Canner (helpfully summarized in this </w:t>
      </w:r>
      <w:hyperlink r:id="rId8" w:anchor="f3" w:tgtFrame="_blank" w:history="1">
        <w:r w:rsidRPr="009429DE">
          <w:rPr>
            <w:rFonts w:ascii="Arial Narrow" w:eastAsia="Times New Roman" w:hAnsi="Arial Narrow" w:cs="Helvetica"/>
            <w:color w:val="2E6D9D"/>
            <w:sz w:val="24"/>
            <w:szCs w:val="24"/>
            <w:lang w:val="en"/>
          </w:rPr>
          <w:t xml:space="preserve">Randy </w:t>
        </w:r>
        <w:proofErr w:type="spellStart"/>
        <w:r w:rsidRPr="009429DE">
          <w:rPr>
            <w:rFonts w:ascii="Arial Narrow" w:eastAsia="Times New Roman" w:hAnsi="Arial Narrow" w:cs="Helvetica"/>
            <w:color w:val="2E6D9D"/>
            <w:sz w:val="24"/>
            <w:szCs w:val="24"/>
            <w:lang w:val="en"/>
          </w:rPr>
          <w:t>Kroszner</w:t>
        </w:r>
        <w:proofErr w:type="spellEnd"/>
        <w:r w:rsidRPr="009429DE">
          <w:rPr>
            <w:rFonts w:ascii="Arial Narrow" w:eastAsia="Times New Roman" w:hAnsi="Arial Narrow" w:cs="Helvetica"/>
            <w:color w:val="2E6D9D"/>
            <w:sz w:val="24"/>
            <w:szCs w:val="24"/>
            <w:lang w:val="en"/>
          </w:rPr>
          <w:t xml:space="preserve"> speech</w:t>
        </w:r>
      </w:hyperlink>
      <w:r w:rsidRPr="009429DE">
        <w:rPr>
          <w:rFonts w:ascii="Arial Narrow" w:eastAsia="Times New Roman" w:hAnsi="Arial Narrow" w:cs="Helvetica"/>
          <w:sz w:val="24"/>
          <w:szCs w:val="24"/>
          <w:lang w:val="en"/>
        </w:rPr>
        <w:t>), argues that the CRA couldn't have been behind the subprime and housing bubbles. "The very small share of all higher-priced loan originations that can reasonably be attributed to the CRA makes it hard to imagine how this law could have contributed in any meaningful way to the current subprime crisis." </w:t>
      </w:r>
      <w:r w:rsidRPr="009429DE">
        <w:rPr>
          <w:rFonts w:ascii="Arial Narrow" w:eastAsia="Times New Roman" w:hAnsi="Arial Narrow" w:cs="Helvetica"/>
          <w:i/>
          <w:iCs/>
          <w:sz w:val="24"/>
          <w:szCs w:val="24"/>
          <w:lang w:val="en"/>
        </w:rPr>
        <w:t>Only six percent</w:t>
      </w:r>
      <w:r w:rsidRPr="009429DE">
        <w:rPr>
          <w:rFonts w:ascii="Arial Narrow" w:eastAsia="Times New Roman" w:hAnsi="Arial Narrow" w:cs="Helvetica"/>
          <w:sz w:val="24"/>
          <w:szCs w:val="24"/>
          <w:lang w:val="en"/>
        </w:rPr>
        <w:t> of higher-priced loans (their proxy for subprime loans) were extended by CRA-covered lenders to lower-income borrowers or CRA neighborhoods.</w:t>
      </w:r>
    </w:p>
    <w:p w:rsidR="009429DE" w:rsidRPr="009429DE" w:rsidRDefault="009429DE" w:rsidP="009429DE">
      <w:pPr>
        <w:spacing w:after="225" w:line="420" w:lineRule="atLeast"/>
        <w:rPr>
          <w:rFonts w:ascii="Arial Narrow" w:eastAsia="Times New Roman" w:hAnsi="Arial Narrow" w:cs="Helvetica"/>
          <w:sz w:val="24"/>
          <w:szCs w:val="24"/>
          <w:lang w:val="en"/>
        </w:rPr>
      </w:pPr>
      <w:hyperlink r:id="rId9" w:tgtFrame="_blank" w:history="1">
        <w:r w:rsidRPr="009429DE">
          <w:rPr>
            <w:rFonts w:ascii="Arial Narrow" w:eastAsia="Times New Roman" w:hAnsi="Arial Narrow" w:cs="Helvetica"/>
            <w:color w:val="2E6D9D"/>
            <w:sz w:val="24"/>
            <w:szCs w:val="24"/>
            <w:lang w:val="en"/>
          </w:rPr>
          <w:t>A recent paper</w:t>
        </w:r>
      </w:hyperlink>
      <w:r w:rsidRPr="009429DE">
        <w:rPr>
          <w:rFonts w:ascii="Arial Narrow" w:eastAsia="Times New Roman" w:hAnsi="Arial Narrow" w:cs="Helvetica"/>
          <w:sz w:val="24"/>
          <w:szCs w:val="24"/>
          <w:lang w:val="en"/>
        </w:rPr>
        <w:t> found that while the CRA might have introduced slightly larger risks in lending portfolios, extra loans done to meet CRA compliance weren't more likely to have higher interest rates, lower loan-to-value, or be balloon/interest-only/jumbo/buy-down mortgages, or hold other subprime characteristics. So it is unlikely that the CRA was priming the pump for subprime, or subtly encouraging subprime mortgages to be made by private lenders.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lastRenderedPageBreak/>
        <w:t>Jason Thomas and Robert Van Order's </w:t>
      </w:r>
      <w:hyperlink r:id="rId10" w:tgtFrame="_blank" w:history="1">
        <w:r w:rsidRPr="009429DE">
          <w:rPr>
            <w:rFonts w:ascii="Arial Narrow" w:eastAsia="Times New Roman" w:hAnsi="Arial Narrow" w:cs="Helvetica"/>
            <w:color w:val="2E6D9D"/>
            <w:sz w:val="24"/>
            <w:szCs w:val="24"/>
            <w:lang w:val="en"/>
          </w:rPr>
          <w:t>research</w:t>
        </w:r>
      </w:hyperlink>
      <w:r w:rsidRPr="009429DE">
        <w:rPr>
          <w:rFonts w:ascii="Arial Narrow" w:eastAsia="Times New Roman" w:hAnsi="Arial Narrow" w:cs="Helvetica"/>
          <w:i/>
          <w:iCs/>
          <w:sz w:val="24"/>
          <w:szCs w:val="24"/>
          <w:lang w:val="en"/>
        </w:rPr>
        <w:t> </w:t>
      </w:r>
      <w:r w:rsidRPr="009429DE">
        <w:rPr>
          <w:rFonts w:ascii="Arial Narrow" w:eastAsia="Times New Roman" w:hAnsi="Arial Narrow" w:cs="Helvetica"/>
          <w:sz w:val="24"/>
          <w:szCs w:val="24"/>
          <w:lang w:val="en"/>
        </w:rPr>
        <w:t>argues that subprime loans were only 5 percent of the GSEs' losses. The GSEs' affordability mission led them to buy the highly rated tranches of mortgage bonds, for which there was already a ton of demand and were not essential to the completion of the deals.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b/>
          <w:bCs/>
          <w:sz w:val="24"/>
          <w:szCs w:val="24"/>
          <w:lang w:val="en"/>
        </w:rPr>
        <w:t>3. There's a lot of research to back this up and little against it.</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The United States' housing market is one of the most intensely studied capital markets in the world. What has other research found? </w:t>
      </w:r>
      <w:hyperlink r:id="rId11" w:tgtFrame="_blank" w:history="1">
        <w:r w:rsidRPr="009429DE">
          <w:rPr>
            <w:rFonts w:ascii="Arial Narrow" w:eastAsia="Times New Roman" w:hAnsi="Arial Narrow" w:cs="Helvetica"/>
            <w:color w:val="2E6D9D"/>
            <w:sz w:val="24"/>
            <w:szCs w:val="24"/>
            <w:lang w:val="en"/>
          </w:rPr>
          <w:t>From Min</w:t>
        </w:r>
      </w:hyperlink>
      <w:r w:rsidRPr="009429DE">
        <w:rPr>
          <w:rFonts w:ascii="Arial Narrow" w:eastAsia="Times New Roman" w:hAnsi="Arial Narrow" w:cs="Helvetica"/>
          <w:sz w:val="24"/>
          <w:szCs w:val="24"/>
          <w:lang w:val="en"/>
        </w:rPr>
        <w:t>:</w:t>
      </w:r>
    </w:p>
    <w:p w:rsidR="009429DE" w:rsidRPr="009429DE" w:rsidRDefault="009429DE" w:rsidP="009429DE">
      <w:pPr>
        <w:spacing w:line="420" w:lineRule="atLeast"/>
        <w:rPr>
          <w:rFonts w:ascii="Arial Narrow" w:eastAsia="Times New Roman" w:hAnsi="Arial Narrow" w:cs="Helvetica"/>
          <w:i/>
          <w:iCs/>
          <w:sz w:val="24"/>
          <w:szCs w:val="24"/>
          <w:lang w:val="en"/>
        </w:rPr>
      </w:pPr>
      <w:r w:rsidRPr="009429DE">
        <w:rPr>
          <w:rFonts w:ascii="Arial Narrow" w:eastAsia="Times New Roman" w:hAnsi="Arial Narrow" w:cs="Helvetica"/>
          <w:i/>
          <w:iCs/>
          <w:sz w:val="24"/>
          <w:szCs w:val="24"/>
          <w:lang w:val="en"/>
        </w:rPr>
        <w:t xml:space="preserve">Did Fannie and Freddie buy high-risk mortgage-backed securities? Yes. But they did not buy enough of them to be blamed for the mortgage crisis. Highly respected analysts who have looked at these </w:t>
      </w:r>
      <w:proofErr w:type="spellStart"/>
      <w:r w:rsidRPr="009429DE">
        <w:rPr>
          <w:rFonts w:ascii="Arial Narrow" w:eastAsia="Times New Roman" w:hAnsi="Arial Narrow" w:cs="Helvetica"/>
          <w:i/>
          <w:iCs/>
          <w:sz w:val="24"/>
          <w:szCs w:val="24"/>
          <w:lang w:val="en"/>
        </w:rPr>
        <w:t>data</w:t>
      </w:r>
      <w:proofErr w:type="gramStart"/>
      <w:r w:rsidRPr="009429DE">
        <w:rPr>
          <w:rFonts w:ascii="Arial Narrow" w:eastAsia="Times New Roman" w:hAnsi="Arial Narrow" w:cs="Helvetica"/>
          <w:i/>
          <w:iCs/>
          <w:sz w:val="24"/>
          <w:szCs w:val="24"/>
          <w:lang w:val="en"/>
        </w:rPr>
        <w:t>..</w:t>
      </w:r>
      <w:proofErr w:type="gramEnd"/>
      <w:r w:rsidRPr="009429DE">
        <w:rPr>
          <w:rFonts w:ascii="Arial Narrow" w:eastAsia="Times New Roman" w:hAnsi="Arial Narrow" w:cs="Helvetica"/>
          <w:i/>
          <w:iCs/>
          <w:sz w:val="24"/>
          <w:szCs w:val="24"/>
          <w:lang w:val="en"/>
        </w:rPr>
        <w:t>including</w:t>
      </w:r>
      <w:proofErr w:type="spellEnd"/>
      <w:r w:rsidRPr="009429DE">
        <w:rPr>
          <w:rFonts w:ascii="Arial Narrow" w:eastAsia="Times New Roman" w:hAnsi="Arial Narrow" w:cs="Helvetica"/>
          <w:i/>
          <w:iCs/>
          <w:sz w:val="24"/>
          <w:szCs w:val="24"/>
          <w:lang w:val="en"/>
        </w:rPr>
        <w:t xml:space="preserve"> the </w:t>
      </w:r>
      <w:hyperlink r:id="rId12" w:tgtFrame="_blank" w:history="1">
        <w:r w:rsidRPr="009429DE">
          <w:rPr>
            <w:rFonts w:ascii="Arial Narrow" w:eastAsia="Times New Roman" w:hAnsi="Arial Narrow" w:cs="Helvetica"/>
            <w:i/>
            <w:iCs/>
            <w:color w:val="2E6D9D"/>
            <w:sz w:val="24"/>
            <w:szCs w:val="24"/>
            <w:lang w:val="en"/>
          </w:rPr>
          <w:t>nonpartisan Government Accountability Office</w:t>
        </w:r>
      </w:hyperlink>
      <w:r w:rsidRPr="009429DE">
        <w:rPr>
          <w:rFonts w:ascii="Arial Narrow" w:eastAsia="Times New Roman" w:hAnsi="Arial Narrow" w:cs="Helvetica"/>
          <w:i/>
          <w:iCs/>
          <w:sz w:val="24"/>
          <w:szCs w:val="24"/>
          <w:lang w:val="en"/>
        </w:rPr>
        <w:t>, the </w:t>
      </w:r>
      <w:hyperlink r:id="rId13" w:tgtFrame="_blank" w:history="1">
        <w:r w:rsidRPr="009429DE">
          <w:rPr>
            <w:rFonts w:ascii="Arial Narrow" w:eastAsia="Times New Roman" w:hAnsi="Arial Narrow" w:cs="Helvetica"/>
            <w:i/>
            <w:iCs/>
            <w:color w:val="2E6D9D"/>
            <w:sz w:val="24"/>
            <w:szCs w:val="24"/>
            <w:lang w:val="en"/>
          </w:rPr>
          <w:t>Harvard Joint Center for Housing Studies</w:t>
        </w:r>
      </w:hyperlink>
      <w:r w:rsidRPr="009429DE">
        <w:rPr>
          <w:rFonts w:ascii="Arial Narrow" w:eastAsia="Times New Roman" w:hAnsi="Arial Narrow" w:cs="Helvetica"/>
          <w:i/>
          <w:iCs/>
          <w:sz w:val="24"/>
          <w:szCs w:val="24"/>
          <w:lang w:val="en"/>
        </w:rPr>
        <w:t>, the </w:t>
      </w:r>
      <w:hyperlink r:id="rId14" w:tgtFrame="_blank" w:history="1">
        <w:r w:rsidRPr="009429DE">
          <w:rPr>
            <w:rFonts w:ascii="Arial Narrow" w:eastAsia="Times New Roman" w:hAnsi="Arial Narrow" w:cs="Helvetica"/>
            <w:i/>
            <w:iCs/>
            <w:color w:val="2E6D9D"/>
            <w:sz w:val="24"/>
            <w:szCs w:val="24"/>
            <w:lang w:val="en"/>
          </w:rPr>
          <w:t>Financial Crisis Inquiry Commission majority</w:t>
        </w:r>
      </w:hyperlink>
      <w:r w:rsidRPr="009429DE">
        <w:rPr>
          <w:rFonts w:ascii="Arial Narrow" w:eastAsia="Times New Roman" w:hAnsi="Arial Narrow" w:cs="Helvetica"/>
          <w:i/>
          <w:iCs/>
          <w:sz w:val="24"/>
          <w:szCs w:val="24"/>
          <w:lang w:val="en"/>
        </w:rPr>
        <w:t>, the </w:t>
      </w:r>
      <w:hyperlink r:id="rId15" w:tgtFrame="_blank" w:history="1">
        <w:r w:rsidRPr="009429DE">
          <w:rPr>
            <w:rFonts w:ascii="Arial Narrow" w:eastAsia="Times New Roman" w:hAnsi="Arial Narrow" w:cs="Helvetica"/>
            <w:i/>
            <w:iCs/>
            <w:color w:val="2E6D9D"/>
            <w:sz w:val="24"/>
            <w:szCs w:val="24"/>
            <w:lang w:val="en"/>
          </w:rPr>
          <w:t>Federal Housing Finance Agency</w:t>
        </w:r>
      </w:hyperlink>
      <w:r w:rsidRPr="009429DE">
        <w:rPr>
          <w:rFonts w:ascii="Arial Narrow" w:eastAsia="Times New Roman" w:hAnsi="Arial Narrow" w:cs="Helvetica"/>
          <w:i/>
          <w:iCs/>
          <w:sz w:val="24"/>
          <w:szCs w:val="24"/>
          <w:lang w:val="en"/>
        </w:rPr>
        <w:t>, and virtually all academics, including the </w:t>
      </w:r>
      <w:hyperlink r:id="rId16" w:tgtFrame="_blank" w:history="1">
        <w:r w:rsidRPr="009429DE">
          <w:rPr>
            <w:rFonts w:ascii="Arial Narrow" w:eastAsia="Times New Roman" w:hAnsi="Arial Narrow" w:cs="Helvetica"/>
            <w:i/>
            <w:iCs/>
            <w:color w:val="2E6D9D"/>
            <w:sz w:val="24"/>
            <w:szCs w:val="24"/>
            <w:lang w:val="en"/>
          </w:rPr>
          <w:t>University of North Carolina</w:t>
        </w:r>
      </w:hyperlink>
      <w:r w:rsidRPr="009429DE">
        <w:rPr>
          <w:rFonts w:ascii="Arial Narrow" w:eastAsia="Times New Roman" w:hAnsi="Arial Narrow" w:cs="Helvetica"/>
          <w:i/>
          <w:iCs/>
          <w:sz w:val="24"/>
          <w:szCs w:val="24"/>
          <w:lang w:val="en"/>
        </w:rPr>
        <w:t>, </w:t>
      </w:r>
      <w:proofErr w:type="spellStart"/>
      <w:r w:rsidRPr="009429DE">
        <w:rPr>
          <w:rFonts w:ascii="Arial Narrow" w:eastAsia="Times New Roman" w:hAnsi="Arial Narrow" w:cs="Helvetica"/>
          <w:i/>
          <w:iCs/>
          <w:sz w:val="24"/>
          <w:szCs w:val="24"/>
          <w:lang w:val="en"/>
        </w:rPr>
        <w:fldChar w:fldCharType="begin"/>
      </w:r>
      <w:r w:rsidRPr="009429DE">
        <w:rPr>
          <w:rFonts w:ascii="Arial Narrow" w:eastAsia="Times New Roman" w:hAnsi="Arial Narrow" w:cs="Helvetica"/>
          <w:i/>
          <w:iCs/>
          <w:sz w:val="24"/>
          <w:szCs w:val="24"/>
          <w:lang w:val="en"/>
        </w:rPr>
        <w:instrText xml:space="preserve"> HYPERLINK "http://www.economics.harvard.edu/faculty/glaeser/files/Glaeser_Cheap_Credit.pdf" \t "_blank" </w:instrText>
      </w:r>
      <w:r w:rsidRPr="009429DE">
        <w:rPr>
          <w:rFonts w:ascii="Arial Narrow" w:eastAsia="Times New Roman" w:hAnsi="Arial Narrow" w:cs="Helvetica"/>
          <w:i/>
          <w:iCs/>
          <w:sz w:val="24"/>
          <w:szCs w:val="24"/>
          <w:lang w:val="en"/>
        </w:rPr>
        <w:fldChar w:fldCharType="separate"/>
      </w:r>
      <w:r w:rsidRPr="009429DE">
        <w:rPr>
          <w:rFonts w:ascii="Arial Narrow" w:eastAsia="Times New Roman" w:hAnsi="Arial Narrow" w:cs="Helvetica"/>
          <w:i/>
          <w:iCs/>
          <w:color w:val="2E6D9D"/>
          <w:sz w:val="24"/>
          <w:szCs w:val="24"/>
          <w:lang w:val="en"/>
        </w:rPr>
        <w:t>Glaeser</w:t>
      </w:r>
      <w:proofErr w:type="spellEnd"/>
      <w:r w:rsidRPr="009429DE">
        <w:rPr>
          <w:rFonts w:ascii="Arial Narrow" w:eastAsia="Times New Roman" w:hAnsi="Arial Narrow" w:cs="Helvetica"/>
          <w:i/>
          <w:iCs/>
          <w:color w:val="2E6D9D"/>
          <w:sz w:val="24"/>
          <w:szCs w:val="24"/>
          <w:lang w:val="en"/>
        </w:rPr>
        <w:t xml:space="preserve"> et al at Harvard</w:t>
      </w:r>
      <w:r w:rsidRPr="009429DE">
        <w:rPr>
          <w:rFonts w:ascii="Arial Narrow" w:eastAsia="Times New Roman" w:hAnsi="Arial Narrow" w:cs="Helvetica"/>
          <w:i/>
          <w:iCs/>
          <w:sz w:val="24"/>
          <w:szCs w:val="24"/>
          <w:lang w:val="en"/>
        </w:rPr>
        <w:fldChar w:fldCharType="end"/>
      </w:r>
      <w:r w:rsidRPr="009429DE">
        <w:rPr>
          <w:rFonts w:ascii="Arial Narrow" w:eastAsia="Times New Roman" w:hAnsi="Arial Narrow" w:cs="Helvetica"/>
          <w:i/>
          <w:iCs/>
          <w:sz w:val="24"/>
          <w:szCs w:val="24"/>
          <w:lang w:val="en"/>
        </w:rPr>
        <w:t>, and </w:t>
      </w:r>
      <w:hyperlink r:id="rId17" w:tgtFrame="_blank" w:history="1">
        <w:r w:rsidRPr="009429DE">
          <w:rPr>
            <w:rFonts w:ascii="Arial Narrow" w:eastAsia="Times New Roman" w:hAnsi="Arial Narrow" w:cs="Helvetica"/>
            <w:i/>
            <w:iCs/>
            <w:color w:val="2E6D9D"/>
            <w:sz w:val="24"/>
            <w:szCs w:val="24"/>
            <w:lang w:val="en"/>
          </w:rPr>
          <w:t>the St. Louis Federal Reserve</w:t>
        </w:r>
      </w:hyperlink>
      <w:r w:rsidRPr="009429DE">
        <w:rPr>
          <w:rFonts w:ascii="Arial Narrow" w:eastAsia="Times New Roman" w:hAnsi="Arial Narrow" w:cs="Helvetica"/>
          <w:i/>
          <w:iCs/>
          <w:sz w:val="24"/>
          <w:szCs w:val="24"/>
          <w:lang w:val="en"/>
        </w:rPr>
        <w:t> [also </w:t>
      </w:r>
      <w:hyperlink r:id="rId18" w:tgtFrame="_blank" w:history="1">
        <w:r w:rsidRPr="009429DE">
          <w:rPr>
            <w:rFonts w:ascii="Arial Narrow" w:eastAsia="Times New Roman" w:hAnsi="Arial Narrow" w:cs="Helvetica"/>
            <w:i/>
            <w:iCs/>
            <w:color w:val="2E6D9D"/>
            <w:sz w:val="24"/>
            <w:szCs w:val="24"/>
            <w:lang w:val="en"/>
          </w:rPr>
          <w:t>here</w:t>
        </w:r>
      </w:hyperlink>
      <w:r w:rsidRPr="009429DE">
        <w:rPr>
          <w:rFonts w:ascii="Arial Narrow" w:eastAsia="Times New Roman" w:hAnsi="Arial Narrow" w:cs="Helvetica"/>
          <w:i/>
          <w:iCs/>
          <w:sz w:val="24"/>
          <w:szCs w:val="24"/>
          <w:lang w:val="en"/>
        </w:rPr>
        <w:t>], have all rejected the Wallison/Pinto argument that federal affordable housing policies were responsible for the proliferation of actual high-risk mortgages over the past decade.</w:t>
      </w:r>
    </w:p>
    <w:p w:rsidR="009429DE" w:rsidRPr="009429DE" w:rsidRDefault="00F343D8" w:rsidP="009429DE">
      <w:pPr>
        <w:spacing w:after="225" w:line="420" w:lineRule="atLeast"/>
        <w:rPr>
          <w:rFonts w:ascii="Arial Narrow" w:eastAsia="Times New Roman" w:hAnsi="Arial Narrow" w:cs="Helvetica"/>
          <w:sz w:val="24"/>
          <w:szCs w:val="24"/>
          <w:lang w:val="en"/>
        </w:rPr>
      </w:pPr>
      <w:r>
        <w:rPr>
          <w:rFonts w:ascii="Arial Narrow" w:eastAsia="Times New Roman" w:hAnsi="Arial Narrow" w:cs="Helvetica"/>
          <w:b/>
          <w:bCs/>
          <w:sz w:val="24"/>
          <w:szCs w:val="24"/>
          <w:lang w:val="en"/>
        </w:rPr>
        <w:t>….</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b/>
          <w:bCs/>
          <w:sz w:val="24"/>
          <w:szCs w:val="24"/>
          <w:lang w:val="en"/>
        </w:rPr>
        <w:t xml:space="preserve">5. The government policy that likely made an impact </w:t>
      </w:r>
      <w:proofErr w:type="gramStart"/>
      <w:r w:rsidRPr="009429DE">
        <w:rPr>
          <w:rFonts w:ascii="Arial Narrow" w:eastAsia="Times New Roman" w:hAnsi="Arial Narrow" w:cs="Helvetica"/>
          <w:b/>
          <w:bCs/>
          <w:sz w:val="24"/>
          <w:szCs w:val="24"/>
          <w:lang w:val="en"/>
        </w:rPr>
        <w:t>were</w:t>
      </w:r>
      <w:proofErr w:type="gramEnd"/>
      <w:r w:rsidRPr="009429DE">
        <w:rPr>
          <w:rFonts w:ascii="Arial Narrow" w:eastAsia="Times New Roman" w:hAnsi="Arial Narrow" w:cs="Helvetica"/>
          <w:b/>
          <w:bCs/>
          <w:sz w:val="24"/>
          <w:szCs w:val="24"/>
          <w:lang w:val="en"/>
        </w:rPr>
        <w:t xml:space="preserve"> deregulatory actions.</w:t>
      </w:r>
    </w:p>
    <w:p w:rsidR="009429DE" w:rsidRPr="009429DE" w:rsidRDefault="009429DE" w:rsidP="009429DE">
      <w:pPr>
        <w:spacing w:after="225" w:line="420" w:lineRule="atLeast"/>
        <w:rPr>
          <w:rFonts w:ascii="Arial Narrow" w:eastAsia="Times New Roman" w:hAnsi="Arial Narrow" w:cs="Helvetica"/>
          <w:sz w:val="24"/>
          <w:szCs w:val="24"/>
          <w:lang w:val="en"/>
        </w:rPr>
      </w:pPr>
      <w:r w:rsidRPr="009429DE">
        <w:rPr>
          <w:rFonts w:ascii="Arial Narrow" w:eastAsia="Times New Roman" w:hAnsi="Arial Narrow" w:cs="Helvetica"/>
          <w:sz w:val="24"/>
          <w:szCs w:val="24"/>
          <w:lang w:val="en"/>
        </w:rPr>
        <w:t>In 2000, Congress </w:t>
      </w:r>
      <w:hyperlink r:id="rId19" w:tgtFrame="_blank" w:history="1">
        <w:r w:rsidRPr="009429DE">
          <w:rPr>
            <w:rFonts w:ascii="Arial Narrow" w:eastAsia="Times New Roman" w:hAnsi="Arial Narrow" w:cs="Helvetica"/>
            <w:color w:val="2E6D9D"/>
            <w:sz w:val="24"/>
            <w:szCs w:val="24"/>
            <w:lang w:val="en"/>
          </w:rPr>
          <w:t>passed the</w:t>
        </w:r>
      </w:hyperlink>
      <w:r w:rsidRPr="009429DE">
        <w:rPr>
          <w:rFonts w:ascii="Arial Narrow" w:eastAsia="Times New Roman" w:hAnsi="Arial Narrow" w:cs="Helvetica"/>
          <w:sz w:val="24"/>
          <w:szCs w:val="24"/>
          <w:lang w:val="en"/>
        </w:rPr>
        <w:t> Commodity Futures Modernization Act, which deregulated the derivatives market, in a lame duck session as a rider to an 11,000 page omnibus appropriation bill. A banking capital "recourse rule" </w:t>
      </w:r>
      <w:hyperlink r:id="rId20" w:tgtFrame="_blank" w:history="1">
        <w:r w:rsidRPr="009429DE">
          <w:rPr>
            <w:rFonts w:ascii="Arial Narrow" w:eastAsia="Times New Roman" w:hAnsi="Arial Narrow" w:cs="Helvetica"/>
            <w:color w:val="2E6D9D"/>
            <w:sz w:val="24"/>
            <w:szCs w:val="24"/>
            <w:lang w:val="en"/>
          </w:rPr>
          <w:t>in 2001</w:t>
        </w:r>
      </w:hyperlink>
      <w:r w:rsidRPr="009429DE">
        <w:rPr>
          <w:rFonts w:ascii="Arial Narrow" w:eastAsia="Times New Roman" w:hAnsi="Arial Narrow" w:cs="Helvetica"/>
          <w:sz w:val="24"/>
          <w:szCs w:val="24"/>
          <w:lang w:val="en"/>
        </w:rPr>
        <w:t> allowed the ratings agencies and private bank risk modelers to decide what banks should hold against risk. In 2003 the </w:t>
      </w:r>
      <w:hyperlink r:id="rId21" w:tgtFrame="_blank" w:history="1">
        <w:r w:rsidRPr="009429DE">
          <w:rPr>
            <w:rFonts w:ascii="Arial Narrow" w:eastAsia="Times New Roman" w:hAnsi="Arial Narrow" w:cs="Helvetica"/>
            <w:color w:val="2E6D9D"/>
            <w:sz w:val="24"/>
            <w:szCs w:val="24"/>
            <w:lang w:val="en"/>
          </w:rPr>
          <w:t>OCC preempted</w:t>
        </w:r>
      </w:hyperlink>
      <w:r w:rsidRPr="009429DE">
        <w:rPr>
          <w:rFonts w:ascii="Arial Narrow" w:eastAsia="Times New Roman" w:hAnsi="Arial Narrow" w:cs="Helvetica"/>
          <w:sz w:val="24"/>
          <w:szCs w:val="24"/>
          <w:lang w:val="en"/>
        </w:rPr>
        <w:t> and overruled Georgia’s new anti-predatory lending laws. Alan </w:t>
      </w:r>
      <w:hyperlink r:id="rId22" w:tgtFrame="_blank" w:history="1">
        <w:r w:rsidRPr="009429DE">
          <w:rPr>
            <w:rFonts w:ascii="Arial Narrow" w:eastAsia="Times New Roman" w:hAnsi="Arial Narrow" w:cs="Helvetica"/>
            <w:color w:val="2E6D9D"/>
            <w:sz w:val="24"/>
            <w:szCs w:val="24"/>
            <w:lang w:val="en"/>
          </w:rPr>
          <w:t>Greenspan refused to</w:t>
        </w:r>
      </w:hyperlink>
      <w:r w:rsidRPr="009429DE">
        <w:rPr>
          <w:rFonts w:ascii="Arial Narrow" w:eastAsia="Times New Roman" w:hAnsi="Arial Narrow" w:cs="Helvetica"/>
          <w:sz w:val="24"/>
          <w:szCs w:val="24"/>
          <w:lang w:val="en"/>
        </w:rPr>
        <w:t> enforce regulations on, or even investigate the wrongdoing of, the new subprime market during the 2000s. The 2005 bankruptcy reforms in BAPCPA, widely viewed as friendly if not written by the financial industry, </w:t>
      </w:r>
      <w:hyperlink r:id="rId23" w:tgtFrame="_blank" w:history="1">
        <w:r w:rsidRPr="009429DE">
          <w:rPr>
            <w:rFonts w:ascii="Arial Narrow" w:eastAsia="Times New Roman" w:hAnsi="Arial Narrow" w:cs="Helvetica"/>
            <w:color w:val="2E6D9D"/>
            <w:sz w:val="24"/>
            <w:szCs w:val="24"/>
            <w:lang w:val="en"/>
          </w:rPr>
          <w:t>codified the market practice</w:t>
        </w:r>
      </w:hyperlink>
      <w:r w:rsidRPr="009429DE">
        <w:rPr>
          <w:rFonts w:ascii="Arial Narrow" w:eastAsia="Times New Roman" w:hAnsi="Arial Narrow" w:cs="Helvetica"/>
          <w:sz w:val="24"/>
          <w:szCs w:val="24"/>
          <w:lang w:val="en"/>
        </w:rPr>
        <w:t> of letting derivatives go to the front of the line in bankruptcy, helping create the conditions for shadow banking runs.</w:t>
      </w:r>
    </w:p>
    <w:p w:rsidR="009429DE" w:rsidRPr="009429DE" w:rsidRDefault="009429DE" w:rsidP="00F343D8">
      <w:pPr>
        <w:spacing w:after="225" w:line="420" w:lineRule="atLeast"/>
        <w:rPr>
          <w:rFonts w:ascii="Georgia" w:eastAsia="Times New Roman" w:hAnsi="Georgia" w:cs="Helvetica"/>
          <w:sz w:val="27"/>
          <w:szCs w:val="27"/>
          <w:lang w:val="en"/>
        </w:rPr>
      </w:pPr>
      <w:r w:rsidRPr="009429DE">
        <w:rPr>
          <w:rFonts w:ascii="Arial Narrow" w:eastAsia="Times New Roman" w:hAnsi="Arial Narrow" w:cs="Helvetica"/>
          <w:sz w:val="24"/>
          <w:szCs w:val="24"/>
          <w:lang w:val="en"/>
        </w:rPr>
        <w:t xml:space="preserve">These government actions all fall under the rubric of deregulation, or "letting the market decide" how to manage the rules of the financial </w:t>
      </w:r>
      <w:proofErr w:type="gramStart"/>
      <w:r w:rsidRPr="009429DE">
        <w:rPr>
          <w:rFonts w:ascii="Arial Narrow" w:eastAsia="Times New Roman" w:hAnsi="Arial Narrow" w:cs="Helvetica"/>
          <w:sz w:val="24"/>
          <w:szCs w:val="24"/>
          <w:lang w:val="en"/>
        </w:rPr>
        <w:t>sector,</w:t>
      </w:r>
      <w:proofErr w:type="gramEnd"/>
      <w:r w:rsidRPr="009429DE">
        <w:rPr>
          <w:rFonts w:ascii="Arial Narrow" w:eastAsia="Times New Roman" w:hAnsi="Arial Narrow" w:cs="Helvetica"/>
          <w:sz w:val="24"/>
          <w:szCs w:val="24"/>
          <w:lang w:val="en"/>
        </w:rPr>
        <w:t xml:space="preserve"> and they are more</w:t>
      </w:r>
      <w:r w:rsidR="00F343D8">
        <w:rPr>
          <w:rFonts w:ascii="Arial Narrow" w:eastAsia="Times New Roman" w:hAnsi="Arial Narrow" w:cs="Helvetica"/>
          <w:sz w:val="24"/>
          <w:szCs w:val="24"/>
          <w:lang w:val="en"/>
        </w:rPr>
        <w:t xml:space="preserve"> relevant to the actual crisis…</w:t>
      </w:r>
      <w:bookmarkStart w:id="0" w:name="_GoBack"/>
      <w:bookmarkEnd w:id="0"/>
    </w:p>
    <w:p w:rsidR="001C053B" w:rsidRPr="009429DE" w:rsidRDefault="001C053B">
      <w:pPr>
        <w:rPr>
          <w:lang w:val="en"/>
        </w:rPr>
      </w:pPr>
    </w:p>
    <w:sectPr w:rsidR="001C053B" w:rsidRPr="009429DE" w:rsidSect="009429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9DE"/>
    <w:rsid w:val="001C053B"/>
    <w:rsid w:val="009429DE"/>
    <w:rsid w:val="00F343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9DE"/>
    <w:rPr>
      <w:strike w:val="0"/>
      <w:dstrike w:val="0"/>
      <w:color w:val="2E6D9D"/>
      <w:u w:val="none"/>
      <w:effect w:val="none"/>
    </w:rPr>
  </w:style>
  <w:style w:type="character" w:styleId="Emphasis">
    <w:name w:val="Emphasis"/>
    <w:basedOn w:val="DefaultParagraphFont"/>
    <w:uiPriority w:val="20"/>
    <w:qFormat/>
    <w:rsid w:val="009429DE"/>
    <w:rPr>
      <w:i/>
      <w:iCs/>
    </w:rPr>
  </w:style>
  <w:style w:type="character" w:styleId="Strong">
    <w:name w:val="Strong"/>
    <w:basedOn w:val="DefaultParagraphFont"/>
    <w:uiPriority w:val="22"/>
    <w:qFormat/>
    <w:rsid w:val="009429DE"/>
    <w:rPr>
      <w:b/>
      <w:bCs/>
    </w:rPr>
  </w:style>
  <w:style w:type="paragraph" w:styleId="NormalWeb">
    <w:name w:val="Normal (Web)"/>
    <w:basedOn w:val="Normal"/>
    <w:uiPriority w:val="99"/>
    <w:semiHidden/>
    <w:unhideWhenUsed/>
    <w:rsid w:val="009429DE"/>
    <w:pPr>
      <w:spacing w:after="225" w:line="420" w:lineRule="atLeast"/>
    </w:pPr>
    <w:rPr>
      <w:rFonts w:ascii="Georgia" w:eastAsia="Times New Roman" w:hAnsi="Georgia" w:cs="Times New Roman"/>
      <w:sz w:val="27"/>
      <w:szCs w:val="27"/>
    </w:rPr>
  </w:style>
  <w:style w:type="character" w:customStyle="1" w:styleId="pb-byline2">
    <w:name w:val="pb-byline2"/>
    <w:basedOn w:val="DefaultParagraphFont"/>
    <w:rsid w:val="009429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429DE"/>
    <w:rPr>
      <w:strike w:val="0"/>
      <w:dstrike w:val="0"/>
      <w:color w:val="2E6D9D"/>
      <w:u w:val="none"/>
      <w:effect w:val="none"/>
    </w:rPr>
  </w:style>
  <w:style w:type="character" w:styleId="Emphasis">
    <w:name w:val="Emphasis"/>
    <w:basedOn w:val="DefaultParagraphFont"/>
    <w:uiPriority w:val="20"/>
    <w:qFormat/>
    <w:rsid w:val="009429DE"/>
    <w:rPr>
      <w:i/>
      <w:iCs/>
    </w:rPr>
  </w:style>
  <w:style w:type="character" w:styleId="Strong">
    <w:name w:val="Strong"/>
    <w:basedOn w:val="DefaultParagraphFont"/>
    <w:uiPriority w:val="22"/>
    <w:qFormat/>
    <w:rsid w:val="009429DE"/>
    <w:rPr>
      <w:b/>
      <w:bCs/>
    </w:rPr>
  </w:style>
  <w:style w:type="paragraph" w:styleId="NormalWeb">
    <w:name w:val="Normal (Web)"/>
    <w:basedOn w:val="Normal"/>
    <w:uiPriority w:val="99"/>
    <w:semiHidden/>
    <w:unhideWhenUsed/>
    <w:rsid w:val="009429DE"/>
    <w:pPr>
      <w:spacing w:after="225" w:line="420" w:lineRule="atLeast"/>
    </w:pPr>
    <w:rPr>
      <w:rFonts w:ascii="Georgia" w:eastAsia="Times New Roman" w:hAnsi="Georgia" w:cs="Times New Roman"/>
      <w:sz w:val="27"/>
      <w:szCs w:val="27"/>
    </w:rPr>
  </w:style>
  <w:style w:type="character" w:customStyle="1" w:styleId="pb-byline2">
    <w:name w:val="pb-byline2"/>
    <w:basedOn w:val="DefaultParagraphFont"/>
    <w:rsid w:val="0094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854053">
      <w:bodyDiv w:val="1"/>
      <w:marLeft w:val="0"/>
      <w:marRight w:val="0"/>
      <w:marTop w:val="0"/>
      <w:marBottom w:val="0"/>
      <w:divBdr>
        <w:top w:val="none" w:sz="0" w:space="0" w:color="auto"/>
        <w:left w:val="none" w:sz="0" w:space="0" w:color="auto"/>
        <w:bottom w:val="none" w:sz="0" w:space="0" w:color="auto"/>
        <w:right w:val="none" w:sz="0" w:space="0" w:color="auto"/>
      </w:divBdr>
      <w:divsChild>
        <w:div w:id="1003168389">
          <w:marLeft w:val="0"/>
          <w:marRight w:val="0"/>
          <w:marTop w:val="0"/>
          <w:marBottom w:val="0"/>
          <w:divBdr>
            <w:top w:val="none" w:sz="0" w:space="0" w:color="auto"/>
            <w:left w:val="none" w:sz="0" w:space="0" w:color="auto"/>
            <w:bottom w:val="none" w:sz="0" w:space="0" w:color="auto"/>
            <w:right w:val="none" w:sz="0" w:space="0" w:color="auto"/>
          </w:divBdr>
          <w:divsChild>
            <w:div w:id="1400127154">
              <w:marLeft w:val="0"/>
              <w:marRight w:val="0"/>
              <w:marTop w:val="0"/>
              <w:marBottom w:val="0"/>
              <w:divBdr>
                <w:top w:val="none" w:sz="0" w:space="0" w:color="auto"/>
                <w:left w:val="none" w:sz="0" w:space="0" w:color="auto"/>
                <w:bottom w:val="none" w:sz="0" w:space="0" w:color="auto"/>
                <w:right w:val="none" w:sz="0" w:space="0" w:color="auto"/>
              </w:divBdr>
              <w:divsChild>
                <w:div w:id="1883053804">
                  <w:marLeft w:val="0"/>
                  <w:marRight w:val="0"/>
                  <w:marTop w:val="0"/>
                  <w:marBottom w:val="0"/>
                  <w:divBdr>
                    <w:top w:val="none" w:sz="0" w:space="0" w:color="auto"/>
                    <w:left w:val="none" w:sz="0" w:space="0" w:color="auto"/>
                    <w:bottom w:val="none" w:sz="0" w:space="0" w:color="auto"/>
                    <w:right w:val="none" w:sz="0" w:space="0" w:color="auto"/>
                  </w:divBdr>
                  <w:divsChild>
                    <w:div w:id="76951561">
                      <w:marLeft w:val="0"/>
                      <w:marRight w:val="0"/>
                      <w:marTop w:val="0"/>
                      <w:marBottom w:val="0"/>
                      <w:divBdr>
                        <w:top w:val="none" w:sz="0" w:space="0" w:color="auto"/>
                        <w:left w:val="none" w:sz="0" w:space="0" w:color="auto"/>
                        <w:bottom w:val="none" w:sz="0" w:space="0" w:color="auto"/>
                        <w:right w:val="none" w:sz="0" w:space="0" w:color="auto"/>
                      </w:divBdr>
                      <w:divsChild>
                        <w:div w:id="2068531258">
                          <w:marLeft w:val="0"/>
                          <w:marRight w:val="0"/>
                          <w:marTop w:val="0"/>
                          <w:marBottom w:val="0"/>
                          <w:divBdr>
                            <w:top w:val="none" w:sz="0" w:space="0" w:color="auto"/>
                            <w:left w:val="none" w:sz="0" w:space="0" w:color="auto"/>
                            <w:bottom w:val="none" w:sz="0" w:space="0" w:color="auto"/>
                            <w:right w:val="none" w:sz="0" w:space="0" w:color="auto"/>
                          </w:divBdr>
                          <w:divsChild>
                            <w:div w:id="790903289">
                              <w:blockQuote w:val="1"/>
                              <w:marLeft w:val="0"/>
                              <w:marRight w:val="0"/>
                              <w:marTop w:val="450"/>
                              <w:marBottom w:val="450"/>
                              <w:divBdr>
                                <w:top w:val="none" w:sz="0" w:space="0" w:color="auto"/>
                                <w:left w:val="single" w:sz="36" w:space="19" w:color="DD8D4D"/>
                                <w:bottom w:val="none" w:sz="0" w:space="0" w:color="auto"/>
                                <w:right w:val="none" w:sz="0" w:space="0" w:color="auto"/>
                              </w:divBdr>
                            </w:div>
                            <w:div w:id="3765151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deralreserve.gov/newsevents/speech/kroszner20081203a.htm" TargetMode="External"/><Relationship Id="rId13" Type="http://schemas.openxmlformats.org/officeDocument/2006/relationships/hyperlink" Target="http://www.jchs.harvard.edu/publications/finance/UBB10-1.pdf" TargetMode="External"/><Relationship Id="rId18" Type="http://schemas.openxmlformats.org/officeDocument/2006/relationships/hyperlink" Target="http://research.stlouisfed.org/wp/2012/2012-005.pdf" TargetMode="External"/><Relationship Id="rId3" Type="http://schemas.openxmlformats.org/officeDocument/2006/relationships/settings" Target="settings.xml"/><Relationship Id="rId21" Type="http://schemas.openxmlformats.org/officeDocument/2006/relationships/hyperlink" Target="http://rortybomb.wordpress.com/2010/03/01/cfpa-i-preemption-or-what-a-bad-cfpa-would-look-like/" TargetMode="External"/><Relationship Id="rId7" Type="http://schemas.openxmlformats.org/officeDocument/2006/relationships/hyperlink" Target="http://www.minneapolisfed.org/publications_papers/pub_display.cfm?id=4136" TargetMode="External"/><Relationship Id="rId12" Type="http://schemas.openxmlformats.org/officeDocument/2006/relationships/hyperlink" Target="http://www.gao.gov/new.items/d09782.pdf" TargetMode="External"/><Relationship Id="rId17" Type="http://schemas.openxmlformats.org/officeDocument/2006/relationships/hyperlink" Target="http://research.stlouisfed.org/conferences/gse/Van_Order.pdf"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www.ccc.unc.edu/FannieFreddie.php" TargetMode="External"/><Relationship Id="rId20" Type="http://schemas.openxmlformats.org/officeDocument/2006/relationships/hyperlink" Target="http://rortybomb.wordpress.com/2009/09/23/did-regulation-cause-the-financial-crisis/" TargetMode="External"/><Relationship Id="rId1" Type="http://schemas.openxmlformats.org/officeDocument/2006/relationships/styles" Target="styles.xml"/><Relationship Id="rId6" Type="http://schemas.openxmlformats.org/officeDocument/2006/relationships/hyperlink" Target="http://rortybomb.wordpress.com/2011/07/19/some-thoughts-on-tyler-cowens-points-on-the-gses/" TargetMode="External"/><Relationship Id="rId11" Type="http://schemas.openxmlformats.org/officeDocument/2006/relationships/hyperlink" Target="http://www.americanprogress.org/issues/2011/07/wallison.html" TargetMode="External"/><Relationship Id="rId24" Type="http://schemas.openxmlformats.org/officeDocument/2006/relationships/fontTable" Target="fontTable.xml"/><Relationship Id="rId5" Type="http://schemas.openxmlformats.org/officeDocument/2006/relationships/hyperlink" Target="http://thinkprogress.org/economy/2011/11/01/358482/bloomberg-mortgage-crisis/" TargetMode="External"/><Relationship Id="rId15" Type="http://schemas.openxmlformats.org/officeDocument/2006/relationships/hyperlink" Target="http://www.fhfa.gov/webfiles/16711/RiskChars9132010.pdf" TargetMode="External"/><Relationship Id="rId23" Type="http://schemas.openxmlformats.org/officeDocument/2006/relationships/hyperlink" Target="http://rortybomb.wordpress.com/2010/05/06/an-interview-about-the-end-user-exemption-with-stephen-lubben/" TargetMode="External"/><Relationship Id="rId10" Type="http://schemas.openxmlformats.org/officeDocument/2006/relationships/hyperlink" Target="http://business.gwu.edu/creua/research-papers/files/fannie-freddie.pdf" TargetMode="External"/><Relationship Id="rId19" Type="http://schemas.openxmlformats.org/officeDocument/2006/relationships/hyperlink" Target="http://makemarketsbemarkets.org/modals/report_derivatives.php" TargetMode="External"/><Relationship Id="rId4" Type="http://schemas.openxmlformats.org/officeDocument/2006/relationships/webSettings" Target="webSettings.xml"/><Relationship Id="rId9" Type="http://schemas.openxmlformats.org/officeDocument/2006/relationships/hyperlink" Target="http://www.nextnewdeal.net/rortybomb/what-does-new-community-reinvestment-act-cra-paper-tell-us" TargetMode="External"/><Relationship Id="rId14" Type="http://schemas.openxmlformats.org/officeDocument/2006/relationships/hyperlink" Target="http://fcic-static.law.stanford.edu/cdn_media/fcic-reports/fcic_final_report_conclusions.pdf" TargetMode="External"/><Relationship Id="rId22" Type="http://schemas.openxmlformats.org/officeDocument/2006/relationships/hyperlink" Target="http://online.wsj.com/article/SB11813411182312955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2016-02-10T21:21:00Z</cp:lastPrinted>
  <dcterms:created xsi:type="dcterms:W3CDTF">2016-02-10T21:08:00Z</dcterms:created>
  <dcterms:modified xsi:type="dcterms:W3CDTF">2016-02-10T21:40:00Z</dcterms:modified>
</cp:coreProperties>
</file>